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C08" w:rsidRDefault="006A2C08"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Supplemental Figure 1 </w:t>
      </w:r>
    </w:p>
    <w:p w:rsidR="006A2C08" w:rsidRDefault="006A2C08">
      <w:r>
        <w:rPr>
          <w:noProof/>
        </w:rPr>
        <w:drawing>
          <wp:inline distT="0" distB="0" distL="0" distR="0">
            <wp:extent cx="5943600" cy="4130757"/>
            <wp:effectExtent l="0" t="0" r="0" b="3175"/>
            <wp:docPr id="1" name="Picture 1" descr="C:\Users\ppandey\Desktop\Priyanka bcw\20. Paper 2\Final Submission Blood\Supplemental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pandey\Desktop\Priyanka bcw\20. Paper 2\Final Submission Blood\Supplemental Figure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C08" w:rsidRPr="00D06891" w:rsidRDefault="009A74BC" w:rsidP="006A2C08">
      <w:pPr>
        <w:rPr>
          <w:rFonts w:ascii="Times New Roman" w:hAnsi="Times New Roman"/>
          <w:sz w:val="24"/>
          <w:szCs w:val="24"/>
        </w:rPr>
      </w:pPr>
      <w:proofErr w:type="gramStart"/>
      <w:r w:rsidRPr="00D06891">
        <w:rPr>
          <w:rFonts w:ascii="Times New Roman" w:hAnsi="Times New Roman"/>
          <w:b/>
          <w:sz w:val="24"/>
          <w:szCs w:val="24"/>
        </w:rPr>
        <w:t>Variation in phagocytosis per Rh D density.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6A2C08">
        <w:rPr>
          <w:rFonts w:ascii="Times New Roman" w:hAnsi="Times New Roman"/>
        </w:rPr>
        <w:t xml:space="preserve">CFDA-SE labeled </w:t>
      </w:r>
      <w:r w:rsidR="006A2C08" w:rsidRPr="00EB4A6D">
        <w:rPr>
          <w:rFonts w:ascii="Times New Roman" w:hAnsi="Times New Roman"/>
        </w:rPr>
        <w:t xml:space="preserve">Group O+ RBCs (R2R2, R1R1, and R1r) were sensitized with saturating dilutions of </w:t>
      </w:r>
      <w:proofErr w:type="spellStart"/>
      <w:r w:rsidR="006A2C08" w:rsidRPr="00EB4A6D">
        <w:rPr>
          <w:rFonts w:ascii="Times New Roman" w:hAnsi="Times New Roman"/>
        </w:rPr>
        <w:t>RhD</w:t>
      </w:r>
      <w:proofErr w:type="spellEnd"/>
      <w:r w:rsidR="006A2C08" w:rsidRPr="00EB4A6D">
        <w:rPr>
          <w:rFonts w:ascii="Times New Roman" w:hAnsi="Times New Roman"/>
        </w:rPr>
        <w:t xml:space="preserve"> IgG3 (BRAD3, 1:800) and IgG1 (BRAD5, 1:100) </w:t>
      </w:r>
      <w:r w:rsidR="006A2C08">
        <w:rPr>
          <w:rFonts w:ascii="Times New Roman" w:hAnsi="Times New Roman"/>
        </w:rPr>
        <w:t>at 37</w:t>
      </w:r>
      <w:r w:rsidR="006A2C08" w:rsidRPr="00EB4A6D">
        <w:rPr>
          <w:rFonts w:ascii="Times New Roman" w:hAnsi="Times New Roman"/>
        </w:rPr>
        <w:t xml:space="preserve">C for 30 minutes and erythrophagocytosis was performed as detailed in Material and Methods section of the manuscript. IAT anti-IgG for 1:800 BRAD3 or 1:100 BRAD5 sensitized RBCs ≥2+. Monocyte phagocytosis was observed to be proportional to the density of Rh D antigen on the surface of RBCs. </w:t>
      </w:r>
      <w:r w:rsidR="006A2C08" w:rsidRPr="00EB4A6D">
        <w:rPr>
          <w:rFonts w:ascii="Times New Roman" w:hAnsi="Times New Roman"/>
          <w:b/>
          <w:color w:val="000000" w:themeColor="text1"/>
        </w:rPr>
        <w:t>A)</w:t>
      </w:r>
      <w:r w:rsidR="006A2C08" w:rsidRPr="00EB4A6D">
        <w:rPr>
          <w:rFonts w:ascii="Times New Roman" w:hAnsi="Times New Roman"/>
          <w:color w:val="000000" w:themeColor="text1"/>
        </w:rPr>
        <w:t xml:space="preserve"> </w:t>
      </w:r>
      <w:r w:rsidR="006A2C08" w:rsidRPr="00EB4A6D">
        <w:rPr>
          <w:rFonts w:ascii="Times New Roman" w:hAnsi="Times New Roman"/>
          <w:color w:val="000000" w:themeColor="text1"/>
          <w:u w:val="single"/>
        </w:rPr>
        <w:t>BRAD3 sensitization</w:t>
      </w:r>
      <w:r w:rsidR="006A2C08" w:rsidRPr="00EB4A6D">
        <w:rPr>
          <w:rFonts w:ascii="Times New Roman" w:hAnsi="Times New Roman"/>
          <w:color w:val="000000" w:themeColor="text1"/>
        </w:rPr>
        <w:t xml:space="preserve">: </w:t>
      </w:r>
      <w:r w:rsidR="006A2C08" w:rsidRPr="00EB4A6D">
        <w:rPr>
          <w:rFonts w:ascii="Times New Roman" w:hAnsi="Times New Roman"/>
        </w:rPr>
        <w:t xml:space="preserve">Monocytes phagocytosed BRAD3 sensitized R2R2 RBCs (90%) more than R1R1 (67%) and R1r (68%). </w:t>
      </w:r>
      <w:r w:rsidR="006A2C08" w:rsidRPr="00EB4A6D">
        <w:rPr>
          <w:rFonts w:ascii="Times New Roman" w:hAnsi="Times New Roman"/>
          <w:b/>
          <w:color w:val="000000" w:themeColor="text1"/>
        </w:rPr>
        <w:t>B)</w:t>
      </w:r>
      <w:r w:rsidR="006A2C08" w:rsidRPr="00EB4A6D">
        <w:rPr>
          <w:rFonts w:ascii="Times New Roman" w:hAnsi="Times New Roman"/>
          <w:color w:val="000000" w:themeColor="text1"/>
        </w:rPr>
        <w:t xml:space="preserve"> </w:t>
      </w:r>
      <w:r w:rsidR="006A2C08" w:rsidRPr="00EB4A6D">
        <w:rPr>
          <w:rFonts w:ascii="Times New Roman" w:hAnsi="Times New Roman"/>
          <w:color w:val="000000" w:themeColor="text1"/>
          <w:u w:val="single"/>
        </w:rPr>
        <w:t>BRAD5 sensitization</w:t>
      </w:r>
      <w:r w:rsidR="006A2C08" w:rsidRPr="00EB4A6D">
        <w:rPr>
          <w:rFonts w:ascii="Times New Roman" w:hAnsi="Times New Roman"/>
          <w:color w:val="000000" w:themeColor="text1"/>
        </w:rPr>
        <w:t xml:space="preserve">: </w:t>
      </w:r>
      <w:r w:rsidR="006A2C08" w:rsidRPr="00EB4A6D">
        <w:rPr>
          <w:rFonts w:ascii="Times New Roman" w:hAnsi="Times New Roman"/>
        </w:rPr>
        <w:t xml:space="preserve">Monocytes phagocytosed BRAD5 sensitized R2R2 RBCs (38%) more than R1R1 (26%) and R1r (29%). </w:t>
      </w:r>
      <w:r w:rsidR="006A2C08" w:rsidRPr="00EB4A6D">
        <w:rPr>
          <w:rFonts w:ascii="Times New Roman" w:hAnsi="Times New Roman"/>
          <w:color w:val="000000" w:themeColor="text1"/>
        </w:rPr>
        <w:t>IAT: indirect antiglobulin test, RBCs: red blood cells. A 1:800 BRAD3 and 1:100 BRAD5 dilutions of anti D IgGs was chosen as it gave a hemagglutination score of ≥2+s, needed for a phagocytic index ≥80.</w:t>
      </w:r>
      <w:r w:rsidR="006A2C08" w:rsidRPr="006A2C08">
        <w:rPr>
          <w:rFonts w:ascii="Times New Roman" w:hAnsi="Times New Roman"/>
          <w:color w:val="000000" w:themeColor="text1"/>
          <w:vertAlign w:val="superscript"/>
        </w:rPr>
        <w:t>18</w:t>
      </w:r>
    </w:p>
    <w:p w:rsidR="006A2C08" w:rsidRDefault="006A2C08"/>
    <w:p w:rsidR="006A2C08" w:rsidRDefault="006A2C08"/>
    <w:p w:rsidR="006A2C08" w:rsidRDefault="006A2C08"/>
    <w:p w:rsidR="006A2C08" w:rsidRDefault="006A2C08"/>
    <w:p w:rsidR="006A2C08" w:rsidRDefault="006A2C08"/>
    <w:p w:rsidR="006A2C08" w:rsidRDefault="006A2C08">
      <w:r>
        <w:rPr>
          <w:rFonts w:ascii="Times New Roman" w:hAnsi="Times New Roman"/>
          <w:b/>
          <w:sz w:val="24"/>
          <w:szCs w:val="24"/>
        </w:rPr>
        <w:lastRenderedPageBreak/>
        <w:t>Supplemental F</w:t>
      </w:r>
      <w:r w:rsidRPr="00CE7C93">
        <w:rPr>
          <w:rFonts w:ascii="Times New Roman" w:hAnsi="Times New Roman"/>
          <w:b/>
          <w:sz w:val="24"/>
          <w:szCs w:val="24"/>
        </w:rPr>
        <w:t xml:space="preserve">igure </w:t>
      </w:r>
      <w:r>
        <w:rPr>
          <w:rFonts w:ascii="Times New Roman" w:hAnsi="Times New Roman"/>
          <w:b/>
          <w:sz w:val="24"/>
          <w:szCs w:val="24"/>
        </w:rPr>
        <w:t xml:space="preserve">2 </w:t>
      </w:r>
    </w:p>
    <w:p w:rsidR="006A2C08" w:rsidRDefault="006A2C08">
      <w:r>
        <w:rPr>
          <w:noProof/>
        </w:rPr>
        <w:drawing>
          <wp:inline distT="0" distB="0" distL="0" distR="0">
            <wp:extent cx="5943600" cy="4316581"/>
            <wp:effectExtent l="0" t="0" r="0" b="8255"/>
            <wp:docPr id="2" name="Picture 2" descr="C:\Users\ppandey\Desktop\Priyanka bcw\20. Paper 2\Final Submission Blood\Supplemental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pandey\Desktop\Priyanka bcw\20. Paper 2\Final Submission Blood\Supplemental Figure 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16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C08" w:rsidRDefault="009A74BC">
      <w:r w:rsidRPr="00D06891">
        <w:rPr>
          <w:rFonts w:ascii="Times New Roman" w:hAnsi="Times New Roman"/>
          <w:b/>
        </w:rPr>
        <w:t xml:space="preserve">Inhibition of </w:t>
      </w:r>
      <w:proofErr w:type="spellStart"/>
      <w:r w:rsidRPr="00D06891">
        <w:rPr>
          <w:rFonts w:ascii="Times New Roman" w:hAnsi="Times New Roman"/>
          <w:b/>
        </w:rPr>
        <w:t>FcγR</w:t>
      </w:r>
      <w:proofErr w:type="spellEnd"/>
      <w:r w:rsidRPr="00D06891">
        <w:rPr>
          <w:rFonts w:ascii="Times New Roman" w:hAnsi="Times New Roman"/>
          <w:b/>
        </w:rPr>
        <w:t xml:space="preserve"> mediated phagocytosis by IVIG.</w:t>
      </w:r>
      <w:r>
        <w:rPr>
          <w:rFonts w:ascii="Times New Roman" w:hAnsi="Times New Roman"/>
          <w:b/>
        </w:rPr>
        <w:t xml:space="preserve"> </w:t>
      </w:r>
      <w:r w:rsidR="006A2C08">
        <w:rPr>
          <w:rFonts w:ascii="Times New Roman" w:hAnsi="Times New Roman"/>
        </w:rPr>
        <w:t>IVIG</w:t>
      </w:r>
      <w:r w:rsidR="006A2C08" w:rsidRPr="007845AD">
        <w:rPr>
          <w:rFonts w:ascii="Times New Roman" w:hAnsi="Times New Roman"/>
        </w:rPr>
        <w:t xml:space="preserve"> inhibition assay was performed 3 times</w:t>
      </w:r>
      <w:r w:rsidR="006A2C08">
        <w:rPr>
          <w:rFonts w:ascii="Times New Roman" w:hAnsi="Times New Roman"/>
        </w:rPr>
        <w:t xml:space="preserve"> using the same source of monocytes. </w:t>
      </w:r>
      <w:r w:rsidR="006A2C08" w:rsidRPr="007845AD">
        <w:rPr>
          <w:rFonts w:ascii="Times New Roman" w:hAnsi="Times New Roman"/>
        </w:rPr>
        <w:t xml:space="preserve">CFDA-SE labeled, BRAD3 (1:800) sensitized Group O R2R2 RBCs were incubated with monocytes and </w:t>
      </w:r>
      <w:r w:rsidR="006A2C08">
        <w:rPr>
          <w:rFonts w:ascii="Times New Roman" w:hAnsi="Times New Roman"/>
        </w:rPr>
        <w:t>IVIG</w:t>
      </w:r>
      <w:r w:rsidR="006A2C08" w:rsidRPr="007845AD">
        <w:rPr>
          <w:rFonts w:ascii="Times New Roman" w:hAnsi="Times New Roman"/>
        </w:rPr>
        <w:t xml:space="preserve"> at the final concentrations indicated in the graph. </w:t>
      </w:r>
      <w:r w:rsidR="006A2C08">
        <w:rPr>
          <w:rFonts w:ascii="Times New Roman" w:hAnsi="Times New Roman"/>
        </w:rPr>
        <w:t>IVIG</w:t>
      </w:r>
      <w:r w:rsidR="006A2C08" w:rsidRPr="007845AD">
        <w:rPr>
          <w:rFonts w:ascii="Times New Roman" w:hAnsi="Times New Roman"/>
        </w:rPr>
        <w:t xml:space="preserve"> inhibited FcγR mediated phagocytosis in a dose dependent fashion with an IC50 = 5.5 ± 0.5 µg/mL (n = 3)</w:t>
      </w:r>
      <w:r w:rsidR="006A2C08" w:rsidRPr="007845AD">
        <w:rPr>
          <w:rFonts w:ascii="Times New Roman" w:hAnsi="Times New Roman"/>
          <w:color w:val="000000" w:themeColor="text1"/>
        </w:rPr>
        <w:t>. IC</w:t>
      </w:r>
      <w:r w:rsidR="006A2C08">
        <w:rPr>
          <w:rFonts w:ascii="Times New Roman" w:hAnsi="Times New Roman"/>
          <w:color w:val="000000" w:themeColor="text1"/>
        </w:rPr>
        <w:t>50</w:t>
      </w:r>
      <w:r w:rsidR="006A2C08" w:rsidRPr="007845AD">
        <w:rPr>
          <w:rFonts w:ascii="Times New Roman" w:hAnsi="Times New Roman"/>
          <w:color w:val="000000" w:themeColor="text1"/>
        </w:rPr>
        <w:t xml:space="preserve">: </w:t>
      </w:r>
      <w:r w:rsidR="006A2C08">
        <w:rPr>
          <w:rFonts w:ascii="Times New Roman" w:hAnsi="Times New Roman"/>
          <w:color w:val="000000" w:themeColor="text1"/>
        </w:rPr>
        <w:t>IVIG</w:t>
      </w:r>
      <w:r w:rsidR="006A2C08" w:rsidRPr="007845AD">
        <w:rPr>
          <w:rFonts w:ascii="Times New Roman" w:hAnsi="Times New Roman"/>
          <w:color w:val="000000" w:themeColor="text1"/>
        </w:rPr>
        <w:t xml:space="preserve"> concentration</w:t>
      </w:r>
      <w:r w:rsidR="006A2C08">
        <w:rPr>
          <w:rFonts w:ascii="Times New Roman" w:hAnsi="Times New Roman"/>
          <w:color w:val="000000" w:themeColor="text1"/>
        </w:rPr>
        <w:t xml:space="preserve"> at which erythrophagocytosis was reduced to 50%</w:t>
      </w:r>
      <w:r w:rsidR="006A2C08" w:rsidRPr="007845AD">
        <w:rPr>
          <w:rFonts w:ascii="Times New Roman" w:hAnsi="Times New Roman"/>
          <w:color w:val="000000" w:themeColor="text1"/>
        </w:rPr>
        <w:t xml:space="preserve">, </w:t>
      </w:r>
      <w:r w:rsidR="006A2C08">
        <w:rPr>
          <w:rFonts w:ascii="Times New Roman" w:hAnsi="Times New Roman"/>
          <w:color w:val="000000" w:themeColor="text1"/>
        </w:rPr>
        <w:t>IVIG</w:t>
      </w:r>
      <w:r w:rsidR="006A2C08" w:rsidRPr="007845AD">
        <w:rPr>
          <w:rFonts w:ascii="Times New Roman" w:hAnsi="Times New Roman"/>
          <w:color w:val="000000" w:themeColor="text1"/>
        </w:rPr>
        <w:t>: intravenous immunoglobulin, RBCs: red blood cells.</w:t>
      </w:r>
    </w:p>
    <w:p w:rsidR="006A2C08" w:rsidRDefault="006A2C08"/>
    <w:p w:rsidR="006A2C08" w:rsidRDefault="006A2C08"/>
    <w:p w:rsidR="006A2C08" w:rsidRDefault="006A2C08"/>
    <w:p w:rsidR="006A2C08" w:rsidRDefault="006A2C08"/>
    <w:p w:rsidR="006A2C08" w:rsidRDefault="006A2C08"/>
    <w:p w:rsidR="006A2C08" w:rsidRDefault="006A2C08"/>
    <w:p w:rsidR="006A2C08" w:rsidRDefault="006A2C08"/>
    <w:p w:rsidR="006A2C08" w:rsidRPr="006A2C08" w:rsidRDefault="006A2C08">
      <w:pPr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Supplemental F</w:t>
      </w:r>
      <w:r w:rsidRPr="00CE7C93">
        <w:rPr>
          <w:rFonts w:ascii="Times New Roman" w:hAnsi="Times New Roman"/>
          <w:b/>
          <w:sz w:val="24"/>
          <w:szCs w:val="24"/>
        </w:rPr>
        <w:t xml:space="preserve">igure </w:t>
      </w:r>
      <w:r>
        <w:rPr>
          <w:rFonts w:ascii="Times New Roman" w:hAnsi="Times New Roman"/>
          <w:b/>
          <w:sz w:val="24"/>
          <w:szCs w:val="24"/>
        </w:rPr>
        <w:t xml:space="preserve">3 </w:t>
      </w:r>
    </w:p>
    <w:p w:rsidR="006A2C08" w:rsidRDefault="006A2C08">
      <w:r>
        <w:rPr>
          <w:noProof/>
        </w:rPr>
        <w:drawing>
          <wp:inline distT="0" distB="0" distL="0" distR="0">
            <wp:extent cx="5943600" cy="4311047"/>
            <wp:effectExtent l="0" t="0" r="0" b="0"/>
            <wp:docPr id="3" name="Picture 3" descr="C:\Users\ppandey\Desktop\Priyanka bcw\20. Paper 2\Final Submission Blood\Supplemental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pandey\Desktop\Priyanka bcw\20. Paper 2\Final Submission Blood\Supplemental Figure 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1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C08" w:rsidRDefault="009A74BC">
      <w:pPr>
        <w:rPr>
          <w:rFonts w:ascii="Times New Roman" w:hAnsi="Times New Roman"/>
          <w:color w:val="000000" w:themeColor="text1"/>
        </w:rPr>
      </w:pPr>
      <w:r w:rsidRPr="00D06891">
        <w:rPr>
          <w:rFonts w:ascii="Times New Roman" w:hAnsi="Times New Roman"/>
          <w:b/>
        </w:rPr>
        <w:t xml:space="preserve">Inhibition of </w:t>
      </w:r>
      <w:proofErr w:type="spellStart"/>
      <w:r w:rsidRPr="00D06891">
        <w:rPr>
          <w:rFonts w:ascii="Times New Roman" w:hAnsi="Times New Roman"/>
          <w:b/>
        </w:rPr>
        <w:t>FcγR</w:t>
      </w:r>
      <w:proofErr w:type="spellEnd"/>
      <w:r w:rsidRPr="00D06891">
        <w:rPr>
          <w:rFonts w:ascii="Times New Roman" w:hAnsi="Times New Roman"/>
          <w:b/>
        </w:rPr>
        <w:t xml:space="preserve"> mediated phagocytosis by IgG subclasses.</w:t>
      </w:r>
      <w:r>
        <w:rPr>
          <w:rFonts w:ascii="Times New Roman" w:hAnsi="Times New Roman"/>
        </w:rPr>
        <w:t xml:space="preserve"> </w:t>
      </w:r>
      <w:r w:rsidR="006A2C08" w:rsidRPr="007845AD">
        <w:rPr>
          <w:rFonts w:ascii="Times New Roman" w:hAnsi="Times New Roman"/>
        </w:rPr>
        <w:t>I</w:t>
      </w:r>
      <w:r w:rsidR="006A2C08">
        <w:rPr>
          <w:rFonts w:ascii="Times New Roman" w:hAnsi="Times New Roman"/>
        </w:rPr>
        <w:t>gG subclass</w:t>
      </w:r>
      <w:r w:rsidR="006A2C08" w:rsidRPr="007845AD">
        <w:rPr>
          <w:rFonts w:ascii="Times New Roman" w:hAnsi="Times New Roman"/>
        </w:rPr>
        <w:t xml:space="preserve"> inhibition assay was performed, in which CFDA-SE labeled, BRAD3 (1:800) sensitized Group O R2R2 RBCs were incubated with monocytes and Ig</w:t>
      </w:r>
      <w:r w:rsidR="006A2C08">
        <w:rPr>
          <w:rFonts w:ascii="Times New Roman" w:hAnsi="Times New Roman"/>
        </w:rPr>
        <w:t>G subclasses</w:t>
      </w:r>
      <w:r w:rsidR="006A2C08" w:rsidRPr="007845AD">
        <w:rPr>
          <w:rFonts w:ascii="Times New Roman" w:hAnsi="Times New Roman"/>
        </w:rPr>
        <w:t xml:space="preserve"> at the final concentrations indicated in the graph. Ig</w:t>
      </w:r>
      <w:r w:rsidR="006A2C08">
        <w:rPr>
          <w:rFonts w:ascii="Times New Roman" w:hAnsi="Times New Roman"/>
        </w:rPr>
        <w:t>G subclasse</w:t>
      </w:r>
      <w:r w:rsidR="006A2C08" w:rsidRPr="00814A75">
        <w:rPr>
          <w:rFonts w:ascii="Times New Roman" w:hAnsi="Times New Roman"/>
        </w:rPr>
        <w:t xml:space="preserve">s inhibited FcγR mediated phagocytosis in a dose dependent fashion. IgG1 and IgG3 inhibited 50% erythrophagocytosis </w:t>
      </w:r>
      <w:r w:rsidR="006A2C08">
        <w:rPr>
          <w:rFonts w:ascii="Times New Roman" w:hAnsi="Times New Roman"/>
        </w:rPr>
        <w:t xml:space="preserve">(IC50) </w:t>
      </w:r>
      <w:r w:rsidR="006A2C08" w:rsidRPr="00814A75">
        <w:rPr>
          <w:rFonts w:ascii="Times New Roman" w:hAnsi="Times New Roman"/>
        </w:rPr>
        <w:t xml:space="preserve">at lower concentrations than IgG2 and IgG4. </w:t>
      </w:r>
      <w:r w:rsidR="006A2C08" w:rsidRPr="00814A75">
        <w:rPr>
          <w:rFonts w:ascii="Times New Roman" w:hAnsi="Times New Roman"/>
          <w:color w:val="000000" w:themeColor="text1"/>
        </w:rPr>
        <w:t>IC: inhibitory concentration, RBCs: red blood cells.</w:t>
      </w: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>
      <w:pPr>
        <w:rPr>
          <w:rFonts w:ascii="Times New Roman" w:hAnsi="Times New Roman"/>
          <w:color w:val="000000" w:themeColor="text1"/>
        </w:rPr>
      </w:pPr>
    </w:p>
    <w:p w:rsidR="00E5137E" w:rsidRDefault="00E5137E" w:rsidP="00E5137E">
      <w:pPr>
        <w:rPr>
          <w:rFonts w:ascii="Times New Roman" w:hAnsi="Times New Roman"/>
          <w:b/>
          <w:sz w:val="24"/>
          <w:szCs w:val="24"/>
        </w:rPr>
        <w:sectPr w:rsidR="00E5137E" w:rsidSect="00FC44B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5137E" w:rsidRDefault="00E5137E" w:rsidP="00E5137E">
      <w:pPr>
        <w:rPr>
          <w:rFonts w:ascii="Times New Roman" w:hAnsi="Times New Roman"/>
          <w:b/>
          <w:sz w:val="24"/>
          <w:szCs w:val="24"/>
        </w:rPr>
      </w:pPr>
      <w:r w:rsidRPr="00F51FC8">
        <w:rPr>
          <w:rFonts w:ascii="Times New Roman" w:hAnsi="Times New Roman"/>
          <w:b/>
          <w:sz w:val="24"/>
          <w:szCs w:val="24"/>
        </w:rPr>
        <w:lastRenderedPageBreak/>
        <w:t>Supplemental Figure 4</w:t>
      </w:r>
    </w:p>
    <w:p w:rsidR="00E5137E" w:rsidRPr="006A2C08" w:rsidRDefault="003E3DFB" w:rsidP="00E5137E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029200" cy="6400800"/>
            <wp:effectExtent l="0" t="0" r="0" b="0"/>
            <wp:docPr id="19" name="Picture 19" descr="C:\Users\ppandey\Desktop\Priyanka bcw\20. Paper 2\Paper 2 work at BRI documents\Supplemental Figure 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pandey\Desktop\Priyanka bcw\20. Paper 2\Paper 2 work at BRI documents\Supplemental Figure 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D0E" w:rsidRDefault="00C83D0E" w:rsidP="00C83D0E">
      <w:pPr>
        <w:rPr>
          <w:rFonts w:ascii="Times New Roman" w:hAnsi="Times New Roman"/>
          <w:color w:val="000000" w:themeColor="text1"/>
        </w:rPr>
      </w:pPr>
      <w:r w:rsidRPr="00F51FC8">
        <w:rPr>
          <w:rFonts w:ascii="Times New Roman" w:hAnsi="Times New Roman"/>
          <w:b/>
        </w:rPr>
        <w:t>Effect of diluent on monocyte mediated erythrophagocytosis.</w:t>
      </w:r>
      <w:r w:rsidRPr="00F51FC8">
        <w:rPr>
          <w:rFonts w:ascii="Times New Roman" w:hAnsi="Times New Roman"/>
        </w:rPr>
        <w:t xml:space="preserve"> </w:t>
      </w:r>
      <w:r w:rsidR="00256D8F" w:rsidRPr="00F51FC8">
        <w:rPr>
          <w:rFonts w:ascii="Times New Roman" w:hAnsi="Times New Roman"/>
        </w:rPr>
        <w:t>P</w:t>
      </w:r>
      <w:r w:rsidRPr="00F51FC8">
        <w:rPr>
          <w:rFonts w:ascii="Times New Roman" w:hAnsi="Times New Roman"/>
        </w:rPr>
        <w:t xml:space="preserve">ercent erythrophagocytosis </w:t>
      </w:r>
      <w:r w:rsidR="00B50BA9" w:rsidRPr="00F51FC8">
        <w:rPr>
          <w:rFonts w:ascii="Times New Roman" w:hAnsi="Times New Roman"/>
        </w:rPr>
        <w:t>of CFDA-SE stained RBCs (</w:t>
      </w:r>
      <w:r w:rsidR="00B50BA9" w:rsidRPr="00F51FC8">
        <w:rPr>
          <w:rFonts w:ascii="Times New Roman" w:hAnsi="Times New Roman"/>
          <w:b/>
        </w:rPr>
        <w:t>A</w:t>
      </w:r>
      <w:r w:rsidR="00B50BA9" w:rsidRPr="00F51FC8">
        <w:rPr>
          <w:rFonts w:ascii="Times New Roman" w:hAnsi="Times New Roman"/>
        </w:rPr>
        <w:t xml:space="preserve">) was observed </w:t>
      </w:r>
      <w:r w:rsidR="00256D8F" w:rsidRPr="00F51FC8">
        <w:rPr>
          <w:rFonts w:ascii="Times New Roman" w:hAnsi="Times New Roman"/>
        </w:rPr>
        <w:t xml:space="preserve">to remain similar </w:t>
      </w:r>
      <w:r w:rsidR="00B50BA9" w:rsidRPr="00F51FC8">
        <w:rPr>
          <w:rFonts w:ascii="Times New Roman" w:hAnsi="Times New Roman"/>
        </w:rPr>
        <w:t xml:space="preserve">when 1/800 </w:t>
      </w:r>
      <w:r w:rsidRPr="00F51FC8">
        <w:rPr>
          <w:rFonts w:ascii="Times New Roman" w:hAnsi="Times New Roman"/>
        </w:rPr>
        <w:t xml:space="preserve">BRAD3 </w:t>
      </w:r>
      <w:r w:rsidR="00256D8F" w:rsidRPr="00F51FC8">
        <w:rPr>
          <w:rFonts w:ascii="Times New Roman" w:hAnsi="Times New Roman"/>
        </w:rPr>
        <w:t xml:space="preserve">prepared in different diluents </w:t>
      </w:r>
      <w:r w:rsidR="00B50BA9" w:rsidRPr="00F51FC8">
        <w:rPr>
          <w:rFonts w:ascii="Times New Roman" w:hAnsi="Times New Roman"/>
        </w:rPr>
        <w:t xml:space="preserve">0.2%BSA/PBS </w:t>
      </w:r>
      <w:r w:rsidRPr="00F51FC8">
        <w:rPr>
          <w:rFonts w:ascii="Times New Roman" w:hAnsi="Times New Roman"/>
        </w:rPr>
        <w:t>(</w:t>
      </w:r>
      <w:r w:rsidR="002C773F" w:rsidRPr="00F51FC8">
        <w:rPr>
          <w:rFonts w:ascii="Times New Roman" w:hAnsi="Times New Roman"/>
          <w:b/>
        </w:rPr>
        <w:t>B</w:t>
      </w:r>
      <w:r w:rsidR="00B50BA9" w:rsidRPr="00F51FC8">
        <w:rPr>
          <w:rFonts w:ascii="Times New Roman" w:hAnsi="Times New Roman"/>
        </w:rPr>
        <w:t>), Plasma (</w:t>
      </w:r>
      <w:r w:rsidR="002C773F" w:rsidRPr="00F51FC8">
        <w:rPr>
          <w:rFonts w:ascii="Times New Roman" w:hAnsi="Times New Roman"/>
          <w:b/>
        </w:rPr>
        <w:t>C</w:t>
      </w:r>
      <w:r w:rsidR="00B50BA9" w:rsidRPr="00F51FC8">
        <w:rPr>
          <w:rFonts w:ascii="Times New Roman" w:hAnsi="Times New Roman"/>
        </w:rPr>
        <w:t>), and Serum (</w:t>
      </w:r>
      <w:r w:rsidR="002C773F" w:rsidRPr="00F51FC8">
        <w:rPr>
          <w:rFonts w:ascii="Times New Roman" w:hAnsi="Times New Roman"/>
          <w:b/>
        </w:rPr>
        <w:t>D</w:t>
      </w:r>
      <w:r w:rsidR="00B50BA9" w:rsidRPr="00F51FC8">
        <w:rPr>
          <w:rFonts w:ascii="Times New Roman" w:hAnsi="Times New Roman"/>
        </w:rPr>
        <w:t>)</w:t>
      </w:r>
      <w:r w:rsidR="00256D8F" w:rsidRPr="00F51FC8">
        <w:rPr>
          <w:rFonts w:ascii="Times New Roman" w:hAnsi="Times New Roman"/>
        </w:rPr>
        <w:t xml:space="preserve"> was used for the sensitization of RBCs</w:t>
      </w:r>
      <w:r w:rsidR="00B50BA9" w:rsidRPr="00F51FC8">
        <w:rPr>
          <w:rFonts w:ascii="Times New Roman" w:hAnsi="Times New Roman"/>
        </w:rPr>
        <w:t>. Control</w:t>
      </w:r>
      <w:r w:rsidR="002C773F" w:rsidRPr="00F51FC8">
        <w:rPr>
          <w:rFonts w:ascii="Times New Roman" w:hAnsi="Times New Roman"/>
        </w:rPr>
        <w:t xml:space="preserve"> (</w:t>
      </w:r>
      <w:r w:rsidR="002C773F" w:rsidRPr="00F51FC8">
        <w:rPr>
          <w:rFonts w:ascii="Times New Roman" w:hAnsi="Times New Roman"/>
          <w:b/>
        </w:rPr>
        <w:t>E</w:t>
      </w:r>
      <w:r w:rsidR="002C773F" w:rsidRPr="00F51FC8">
        <w:rPr>
          <w:rFonts w:ascii="Times New Roman" w:hAnsi="Times New Roman"/>
        </w:rPr>
        <w:t>)</w:t>
      </w:r>
      <w:r w:rsidR="00B50BA9" w:rsidRPr="00F51FC8">
        <w:rPr>
          <w:rFonts w:ascii="Times New Roman" w:hAnsi="Times New Roman"/>
        </w:rPr>
        <w:t>:  Un</w:t>
      </w:r>
      <w:r w:rsidR="001D1427" w:rsidRPr="00F51FC8">
        <w:rPr>
          <w:rFonts w:ascii="Times New Roman" w:hAnsi="Times New Roman"/>
        </w:rPr>
        <w:t>-</w:t>
      </w:r>
      <w:r w:rsidR="00B50BA9" w:rsidRPr="00F51FC8">
        <w:rPr>
          <w:rFonts w:ascii="Times New Roman" w:hAnsi="Times New Roman"/>
        </w:rPr>
        <w:t xml:space="preserve">opsonized RBCs </w:t>
      </w:r>
      <w:r w:rsidR="001D1427" w:rsidRPr="00F51FC8">
        <w:rPr>
          <w:rFonts w:ascii="Times New Roman" w:hAnsi="Times New Roman"/>
        </w:rPr>
        <w:t>incubated with monocy</w:t>
      </w:r>
      <w:r w:rsidR="00737D21" w:rsidRPr="00F51FC8">
        <w:rPr>
          <w:rFonts w:ascii="Times New Roman" w:hAnsi="Times New Roman"/>
        </w:rPr>
        <w:t>tes for the erythrophagocytosis</w:t>
      </w:r>
      <w:r w:rsidR="00DD0CB6" w:rsidRPr="00F51FC8">
        <w:rPr>
          <w:rFonts w:ascii="Times New Roman" w:hAnsi="Times New Roman"/>
        </w:rPr>
        <w:t xml:space="preserve">. </w:t>
      </w:r>
      <w:r w:rsidRPr="00F51FC8">
        <w:rPr>
          <w:rFonts w:ascii="Times New Roman" w:hAnsi="Times New Roman"/>
          <w:color w:val="000000" w:themeColor="text1"/>
        </w:rPr>
        <w:t>RBCs: red blood cells.</w:t>
      </w:r>
    </w:p>
    <w:sectPr w:rsidR="00C83D0E" w:rsidSect="00E5137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lood journal endnote styl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ervd5pdpax2tetdprvwwf62pdtz9pxaw9a&quot;&gt;My EndNote Library&lt;record-ids&gt;&lt;item&gt;22&lt;/item&gt;&lt;/record-ids&gt;&lt;/item&gt;&lt;/Libraries&gt;"/>
  </w:docVars>
  <w:rsids>
    <w:rsidRoot w:val="006A2C08"/>
    <w:rsid w:val="001D1427"/>
    <w:rsid w:val="00256D8F"/>
    <w:rsid w:val="002C773F"/>
    <w:rsid w:val="003E3DFB"/>
    <w:rsid w:val="006A2C08"/>
    <w:rsid w:val="00737D21"/>
    <w:rsid w:val="00941FBC"/>
    <w:rsid w:val="009A74BC"/>
    <w:rsid w:val="00AC0CA8"/>
    <w:rsid w:val="00B050AD"/>
    <w:rsid w:val="00B50BA9"/>
    <w:rsid w:val="00C83D0E"/>
    <w:rsid w:val="00DD0CB6"/>
    <w:rsid w:val="00E5137E"/>
    <w:rsid w:val="00F51FC8"/>
    <w:rsid w:val="00FC44BB"/>
    <w:rsid w:val="00FF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C0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2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C08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5137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C0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2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C08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5137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bc_one</dc:creator>
  <cp:lastModifiedBy>bc_one</cp:lastModifiedBy>
  <cp:revision>2</cp:revision>
  <dcterms:created xsi:type="dcterms:W3CDTF">2020-03-01T23:25:00Z</dcterms:created>
  <dcterms:modified xsi:type="dcterms:W3CDTF">2020-03-01T23:25:00Z</dcterms:modified>
</cp:coreProperties>
</file>